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4E9" w:rsidRPr="00F95938" w:rsidRDefault="00C06153" w:rsidP="00600A77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取り組み</w:t>
      </w:r>
      <w:r w:rsidR="00600A77">
        <w:rPr>
          <w:rFonts w:ascii="HG丸ｺﾞｼｯｸM-PRO" w:eastAsia="HG丸ｺﾞｼｯｸM-PRO" w:hAnsi="HG丸ｺﾞｼｯｸM-PRO" w:hint="eastAsia"/>
          <w:b/>
          <w:sz w:val="24"/>
          <w:szCs w:val="24"/>
        </w:rPr>
        <w:t>と評価、次期計画に向けて</w:t>
      </w:r>
    </w:p>
    <w:p w:rsidR="006714E9" w:rsidRPr="0065126A" w:rsidRDefault="006714E9" w:rsidP="006714E9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5126A">
        <w:rPr>
          <w:rFonts w:ascii="HG丸ｺﾞｼｯｸM-PRO" w:eastAsia="HG丸ｺﾞｼｯｸM-PRO" w:hAnsi="HG丸ｺﾞｼｯｸM-PRO" w:hint="eastAsia"/>
          <w:sz w:val="24"/>
          <w:szCs w:val="24"/>
        </w:rPr>
        <w:t>■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運　動</w:t>
      </w:r>
    </w:p>
    <w:tbl>
      <w:tblPr>
        <w:tblW w:w="958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85"/>
      </w:tblGrid>
      <w:tr w:rsidR="006714E9" w:rsidTr="00860095">
        <w:trPr>
          <w:trHeight w:val="120"/>
        </w:trPr>
        <w:tc>
          <w:tcPr>
            <w:tcW w:w="9585" w:type="dxa"/>
          </w:tcPr>
          <w:p w:rsidR="006714E9" w:rsidRPr="009801ED" w:rsidRDefault="006714E9" w:rsidP="00913CB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◆</w:t>
            </w:r>
            <w:r w:rsidRPr="000046D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取り組み内容</w:t>
            </w:r>
          </w:p>
        </w:tc>
      </w:tr>
      <w:tr w:rsidR="006714E9" w:rsidTr="00860095">
        <w:trPr>
          <w:trHeight w:val="3966"/>
        </w:trPr>
        <w:tc>
          <w:tcPr>
            <w:tcW w:w="9585" w:type="dxa"/>
          </w:tcPr>
          <w:p w:rsidR="00CE6AEB" w:rsidRDefault="001A40EC" w:rsidP="00E5400F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○</w:t>
            </w:r>
            <w:r w:rsidR="00CE6AEB">
              <w:rPr>
                <w:rFonts w:ascii="HG丸ｺﾞｼｯｸM-PRO" w:eastAsia="HG丸ｺﾞｼｯｸM-PRO" w:hAnsi="HG丸ｺﾞｼｯｸM-PRO" w:hint="eastAsia"/>
                <w:szCs w:val="21"/>
              </w:rPr>
              <w:t>乳幼児期～学齢期</w:t>
            </w:r>
          </w:p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5"/>
              <w:gridCol w:w="3126"/>
              <w:gridCol w:w="3126"/>
            </w:tblGrid>
            <w:tr w:rsidR="00FA5599" w:rsidTr="00860095">
              <w:tc>
                <w:tcPr>
                  <w:tcW w:w="3125" w:type="dxa"/>
                </w:tcPr>
                <w:p w:rsidR="00FA5599" w:rsidRDefault="00FA5599" w:rsidP="00E5400F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・子育てサロン</w:t>
                  </w:r>
                </w:p>
              </w:tc>
              <w:tc>
                <w:tcPr>
                  <w:tcW w:w="3126" w:type="dxa"/>
                </w:tcPr>
                <w:p w:rsidR="00FA5599" w:rsidRDefault="00FA5599" w:rsidP="00E5400F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・あそびの広場</w:t>
                  </w:r>
                </w:p>
              </w:tc>
              <w:tc>
                <w:tcPr>
                  <w:tcW w:w="3126" w:type="dxa"/>
                </w:tcPr>
                <w:p w:rsidR="00FA5599" w:rsidRPr="00FA5599" w:rsidRDefault="00FA5599" w:rsidP="00E5400F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・なかよし広場</w:t>
                  </w:r>
                </w:p>
              </w:tc>
            </w:tr>
            <w:tr w:rsidR="00FA5599" w:rsidTr="00860095">
              <w:tc>
                <w:tcPr>
                  <w:tcW w:w="3125" w:type="dxa"/>
                </w:tcPr>
                <w:p w:rsidR="00FA5599" w:rsidRPr="00FA5599" w:rsidRDefault="00FA5599" w:rsidP="00E5400F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・スマイル育児教室</w:t>
                  </w:r>
                </w:p>
              </w:tc>
              <w:tc>
                <w:tcPr>
                  <w:tcW w:w="3126" w:type="dxa"/>
                </w:tcPr>
                <w:p w:rsidR="00FA5599" w:rsidRDefault="00FA5599" w:rsidP="00E5400F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・親子ふれあいスキー教室</w:t>
                  </w:r>
                </w:p>
              </w:tc>
              <w:tc>
                <w:tcPr>
                  <w:tcW w:w="3126" w:type="dxa"/>
                </w:tcPr>
                <w:p w:rsidR="00FA5599" w:rsidRDefault="00FA5599" w:rsidP="00E5400F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・プール教室</w:t>
                  </w:r>
                </w:p>
              </w:tc>
            </w:tr>
            <w:tr w:rsidR="00FA5599" w:rsidTr="00860095">
              <w:tc>
                <w:tcPr>
                  <w:tcW w:w="3125" w:type="dxa"/>
                </w:tcPr>
                <w:p w:rsidR="00FA5599" w:rsidRDefault="00FA5599" w:rsidP="00E5400F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・出前スポーツ教室</w:t>
                  </w:r>
                </w:p>
              </w:tc>
              <w:tc>
                <w:tcPr>
                  <w:tcW w:w="3126" w:type="dxa"/>
                </w:tcPr>
                <w:p w:rsidR="00FA5599" w:rsidRDefault="00FA5599" w:rsidP="00E5400F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・子どもスポーツ教室（R3～）</w:t>
                  </w:r>
                </w:p>
              </w:tc>
              <w:tc>
                <w:tcPr>
                  <w:tcW w:w="3126" w:type="dxa"/>
                </w:tcPr>
                <w:p w:rsidR="00FA5599" w:rsidRDefault="00FA5599" w:rsidP="00E5400F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・幼児スポーツ教室（R6～）</w:t>
                  </w:r>
                </w:p>
              </w:tc>
            </w:tr>
            <w:tr w:rsidR="00FA5599" w:rsidTr="00860095">
              <w:tc>
                <w:tcPr>
                  <w:tcW w:w="3125" w:type="dxa"/>
                </w:tcPr>
                <w:p w:rsidR="00FA5599" w:rsidRDefault="00FA5599" w:rsidP="00E5400F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・くまいしSUNSUN</w:t>
                  </w:r>
                </w:p>
              </w:tc>
              <w:tc>
                <w:tcPr>
                  <w:tcW w:w="3126" w:type="dxa"/>
                </w:tcPr>
                <w:p w:rsidR="00FA5599" w:rsidRDefault="00FA5599" w:rsidP="00E5400F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・夏休みラジオ体操</w:t>
                  </w:r>
                </w:p>
              </w:tc>
              <w:tc>
                <w:tcPr>
                  <w:tcW w:w="3126" w:type="dxa"/>
                </w:tcPr>
                <w:p w:rsidR="00FA5599" w:rsidRDefault="00FA5599" w:rsidP="00E5400F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</w:tr>
          </w:tbl>
          <w:p w:rsidR="00571F43" w:rsidRDefault="00571F43" w:rsidP="0006454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</w:p>
          <w:p w:rsidR="00CE6AEB" w:rsidRDefault="001A40EC" w:rsidP="00E5400F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○</w:t>
            </w:r>
            <w:r w:rsidR="00DD398A">
              <w:rPr>
                <w:rFonts w:ascii="HG丸ｺﾞｼｯｸM-PRO" w:eastAsia="HG丸ｺﾞｼｯｸM-PRO" w:hAnsi="HG丸ｺﾞｼｯｸM-PRO" w:hint="eastAsia"/>
                <w:szCs w:val="21"/>
              </w:rPr>
              <w:t>成人期～高齢期</w:t>
            </w:r>
          </w:p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5"/>
              <w:gridCol w:w="3126"/>
              <w:gridCol w:w="3126"/>
            </w:tblGrid>
            <w:tr w:rsidR="00FA5599" w:rsidTr="00860095">
              <w:tc>
                <w:tcPr>
                  <w:tcW w:w="3125" w:type="dxa"/>
                </w:tcPr>
                <w:p w:rsidR="00FA5599" w:rsidRDefault="00FA5599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・産婦へのエクササイズ</w:t>
                  </w:r>
                </w:p>
              </w:tc>
              <w:tc>
                <w:tcPr>
                  <w:tcW w:w="3126" w:type="dxa"/>
                </w:tcPr>
                <w:p w:rsidR="00FA5599" w:rsidRDefault="00FA5599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Pr="00F95938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生活習慣病予防教室</w:t>
                  </w:r>
                </w:p>
              </w:tc>
              <w:tc>
                <w:tcPr>
                  <w:tcW w:w="3126" w:type="dxa"/>
                </w:tcPr>
                <w:p w:rsidR="00FA5599" w:rsidRPr="00FA5599" w:rsidRDefault="00FA5599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・地区健康教室</w:t>
                  </w:r>
                </w:p>
              </w:tc>
            </w:tr>
            <w:tr w:rsidR="00FA5599" w:rsidTr="00860095">
              <w:tc>
                <w:tcPr>
                  <w:tcW w:w="6251" w:type="dxa"/>
                  <w:gridSpan w:val="2"/>
                </w:tcPr>
                <w:p w:rsidR="00FA5599" w:rsidRPr="00CD1C2D" w:rsidRDefault="00FA5599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・ノルディックウォーキング体験（全町一日健康の集い）</w:t>
                  </w:r>
                </w:p>
              </w:tc>
              <w:tc>
                <w:tcPr>
                  <w:tcW w:w="3126" w:type="dxa"/>
                </w:tcPr>
                <w:p w:rsidR="00FA5599" w:rsidRDefault="00CD1C2D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Pr="00F95938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いきいき健康クラブ</w:t>
                  </w:r>
                </w:p>
              </w:tc>
            </w:tr>
            <w:tr w:rsidR="00CD1C2D" w:rsidTr="00860095">
              <w:tc>
                <w:tcPr>
                  <w:tcW w:w="9377" w:type="dxa"/>
                  <w:gridSpan w:val="3"/>
                </w:tcPr>
                <w:p w:rsidR="00CD1C2D" w:rsidRDefault="00CD1C2D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・保健推進委員講座（ふまねっと、青竹ビクス体験、フィットネス）</w:t>
                  </w:r>
                </w:p>
              </w:tc>
            </w:tr>
            <w:tr w:rsidR="00FA5599" w:rsidTr="00860095">
              <w:tc>
                <w:tcPr>
                  <w:tcW w:w="3125" w:type="dxa"/>
                </w:tcPr>
                <w:p w:rsidR="00FA5599" w:rsidRPr="00CD1C2D" w:rsidRDefault="00CD1C2D" w:rsidP="00CD1C2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・運動指導</w:t>
                  </w:r>
                </w:p>
              </w:tc>
              <w:tc>
                <w:tcPr>
                  <w:tcW w:w="3126" w:type="dxa"/>
                </w:tcPr>
                <w:p w:rsidR="00FA5599" w:rsidRPr="00CD1C2D" w:rsidRDefault="00CD1C2D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・おはよう一万歩歩こう会</w:t>
                  </w:r>
                </w:p>
              </w:tc>
              <w:tc>
                <w:tcPr>
                  <w:tcW w:w="3126" w:type="dxa"/>
                </w:tcPr>
                <w:p w:rsidR="00FA5599" w:rsidRDefault="00CD1C2D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・町民ハイキング登山</w:t>
                  </w:r>
                </w:p>
              </w:tc>
            </w:tr>
            <w:tr w:rsidR="00CD1C2D" w:rsidTr="00860095">
              <w:tc>
                <w:tcPr>
                  <w:tcW w:w="6251" w:type="dxa"/>
                  <w:gridSpan w:val="2"/>
                </w:tcPr>
                <w:p w:rsidR="00CD1C2D" w:rsidRDefault="00CD1C2D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・ノルディックウォーキングフェスティバル</w:t>
                  </w:r>
                </w:p>
              </w:tc>
              <w:tc>
                <w:tcPr>
                  <w:tcW w:w="3126" w:type="dxa"/>
                </w:tcPr>
                <w:p w:rsidR="00CD1C2D" w:rsidRDefault="00CD1C2D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・歩くスキーの集い</w:t>
                  </w:r>
                </w:p>
              </w:tc>
            </w:tr>
            <w:tr w:rsidR="00CD1C2D" w:rsidTr="00860095">
              <w:tc>
                <w:tcPr>
                  <w:tcW w:w="3125" w:type="dxa"/>
                </w:tcPr>
                <w:p w:rsidR="00CD1C2D" w:rsidRPr="00CD1C2D" w:rsidRDefault="00CD1C2D" w:rsidP="00CD1C2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・フィットネス教室</w:t>
                  </w:r>
                </w:p>
              </w:tc>
              <w:tc>
                <w:tcPr>
                  <w:tcW w:w="6252" w:type="dxa"/>
                  <w:gridSpan w:val="2"/>
                </w:tcPr>
                <w:p w:rsidR="00CD1C2D" w:rsidRDefault="00CD1C2D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・プール教室（成人４泳法、アクアビクス）</w:t>
                  </w:r>
                </w:p>
              </w:tc>
            </w:tr>
            <w:tr w:rsidR="00CD1C2D" w:rsidTr="00860095">
              <w:tc>
                <w:tcPr>
                  <w:tcW w:w="9377" w:type="dxa"/>
                  <w:gridSpan w:val="3"/>
                </w:tcPr>
                <w:p w:rsidR="00CD1C2D" w:rsidRDefault="00CD1C2D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Pr="00F95938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お達者ピンピン⇒平成30年度より「くまとも広場」（運動メニューあり）</w:t>
                  </w:r>
                </w:p>
              </w:tc>
            </w:tr>
            <w:tr w:rsidR="00CD1C2D" w:rsidTr="00860095">
              <w:tc>
                <w:tcPr>
                  <w:tcW w:w="6251" w:type="dxa"/>
                  <w:gridSpan w:val="2"/>
                </w:tcPr>
                <w:p w:rsidR="00CD1C2D" w:rsidRDefault="00CD1C2D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・ほっとしよう会（体操・パークゴルフ等）</w:t>
                  </w:r>
                </w:p>
              </w:tc>
              <w:tc>
                <w:tcPr>
                  <w:tcW w:w="3126" w:type="dxa"/>
                </w:tcPr>
                <w:p w:rsidR="00CD1C2D" w:rsidRDefault="00CD1C2D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・わんぱくの森ハイキング</w:t>
                  </w:r>
                </w:p>
              </w:tc>
            </w:tr>
            <w:tr w:rsidR="00CD1C2D" w:rsidTr="00860095">
              <w:tc>
                <w:tcPr>
                  <w:tcW w:w="6251" w:type="dxa"/>
                  <w:gridSpan w:val="2"/>
                </w:tcPr>
                <w:p w:rsidR="00CD1C2D" w:rsidRDefault="00CD1C2D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・まるごと元気運動教室（熊石・落部・八雲の３会場）</w:t>
                  </w:r>
                </w:p>
              </w:tc>
              <w:tc>
                <w:tcPr>
                  <w:tcW w:w="3126" w:type="dxa"/>
                </w:tcPr>
                <w:p w:rsidR="00CD1C2D" w:rsidRDefault="00CD1C2D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・シルバーオリンピック</w:t>
                  </w:r>
                </w:p>
              </w:tc>
            </w:tr>
            <w:tr w:rsidR="00CD1C2D" w:rsidTr="00860095">
              <w:tc>
                <w:tcPr>
                  <w:tcW w:w="6251" w:type="dxa"/>
                  <w:gridSpan w:val="2"/>
                </w:tcPr>
                <w:p w:rsidR="00CD1C2D" w:rsidRPr="009377EC" w:rsidRDefault="00CD1C2D" w:rsidP="00CD1C2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</w:t>
                  </w:r>
                  <w:r w:rsidRPr="00F95938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自主活動（健康体操、ふまねっと）の助言指導</w:t>
                  </w:r>
                </w:p>
                <w:p w:rsidR="00CD1C2D" w:rsidRPr="00CD1C2D" w:rsidRDefault="00CD1C2D" w:rsidP="00FA5599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126" w:type="dxa"/>
                </w:tcPr>
                <w:p w:rsidR="00CD1C2D" w:rsidRDefault="00CD1C2D" w:rsidP="00CD1C2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・百歳体操の普及・実施</w:t>
                  </w:r>
                </w:p>
              </w:tc>
            </w:tr>
          </w:tbl>
          <w:p w:rsidR="00FA5599" w:rsidRPr="00CD1C2D" w:rsidRDefault="00CD1C2D" w:rsidP="00E5400F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○全世代</w:t>
            </w:r>
          </w:p>
          <w:p w:rsidR="00D92DDF" w:rsidRDefault="00D92DDF" w:rsidP="00E5400F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="00CD1C2D">
              <w:rPr>
                <w:rFonts w:ascii="HG丸ｺﾞｼｯｸM-PRO" w:eastAsia="HG丸ｺﾞｼｯｸM-PRO" w:hAnsi="HG丸ｺﾞｼｯｸM-PRO" w:hint="eastAsia"/>
                <w:szCs w:val="21"/>
              </w:rPr>
              <w:t>町広報への掲載（運動編）</w:t>
            </w:r>
          </w:p>
          <w:p w:rsidR="00AF54D3" w:rsidRPr="00032DF8" w:rsidRDefault="00AF54D3" w:rsidP="00860095">
            <w:pPr>
              <w:spacing w:line="280" w:lineRule="exact"/>
              <w:jc w:val="distribute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714E9" w:rsidTr="00860095">
        <w:trPr>
          <w:trHeight w:val="92"/>
        </w:trPr>
        <w:tc>
          <w:tcPr>
            <w:tcW w:w="9585" w:type="dxa"/>
          </w:tcPr>
          <w:p w:rsidR="006714E9" w:rsidRPr="009801ED" w:rsidRDefault="006714E9" w:rsidP="00913CB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801ED">
              <w:rPr>
                <w:rFonts w:ascii="HG丸ｺﾞｼｯｸM-PRO" w:eastAsia="HG丸ｺﾞｼｯｸM-PRO" w:hAnsi="HG丸ｺﾞｼｯｸM-PRO" w:hint="eastAsia"/>
                <w:sz w:val="22"/>
              </w:rPr>
              <w:t>◆</w:t>
            </w:r>
            <w:r w:rsidR="001A40EC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現状と評価</w:t>
            </w:r>
          </w:p>
        </w:tc>
      </w:tr>
      <w:tr w:rsidR="006714E9" w:rsidTr="00860095">
        <w:trPr>
          <w:trHeight w:val="3514"/>
        </w:trPr>
        <w:tc>
          <w:tcPr>
            <w:tcW w:w="9585" w:type="dxa"/>
          </w:tcPr>
          <w:tbl>
            <w:tblPr>
              <w:tblpPr w:leftFromText="142" w:rightFromText="142" w:vertAnchor="text" w:horzAnchor="margin" w:tblpY="62"/>
              <w:tblOverlap w:val="never"/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63"/>
              <w:gridCol w:w="1134"/>
              <w:gridCol w:w="1190"/>
              <w:gridCol w:w="1191"/>
              <w:gridCol w:w="1191"/>
              <w:gridCol w:w="1191"/>
              <w:gridCol w:w="1191"/>
            </w:tblGrid>
            <w:tr w:rsidR="00196510" w:rsidTr="00196510">
              <w:trPr>
                <w:trHeight w:val="172"/>
              </w:trPr>
              <w:tc>
                <w:tcPr>
                  <w:tcW w:w="3397" w:type="dxa"/>
                  <w:gridSpan w:val="2"/>
                  <w:tcBorders>
                    <w:bottom w:val="single" w:sz="4" w:space="0" w:color="auto"/>
                  </w:tcBorders>
                </w:tcPr>
                <w:p w:rsidR="007971D8" w:rsidRPr="00CD1C2D" w:rsidRDefault="007971D8" w:rsidP="007971D8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評価内容</w:t>
                  </w:r>
                </w:p>
              </w:tc>
              <w:tc>
                <w:tcPr>
                  <w:tcW w:w="1190" w:type="dxa"/>
                  <w:tcBorders>
                    <w:bottom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196510">
                    <w:rPr>
                      <w:rFonts w:ascii="HG丸ｺﾞｼｯｸM-PRO" w:eastAsia="HG丸ｺﾞｼｯｸM-PRO" w:hAnsi="HG丸ｺﾞｼｯｸM-PRO" w:hint="eastAsia"/>
                      <w:w w:val="99"/>
                      <w:kern w:val="0"/>
                      <w:sz w:val="18"/>
                      <w:szCs w:val="18"/>
                      <w:fitText w:val="991" w:id="-950201343"/>
                    </w:rPr>
                    <w:t>H25年度</w:t>
                  </w:r>
                  <w:r w:rsidRPr="00196510">
                    <w:rPr>
                      <w:rFonts w:ascii="HG丸ｺﾞｼｯｸM-PRO" w:eastAsia="HG丸ｺﾞｼｯｸM-PRO" w:hAnsi="HG丸ｺﾞｼｯｸM-PRO" w:hint="eastAsia"/>
                      <w:spacing w:val="4"/>
                      <w:w w:val="99"/>
                      <w:kern w:val="0"/>
                      <w:sz w:val="18"/>
                      <w:szCs w:val="18"/>
                      <w:fitText w:val="991" w:id="-950201343"/>
                    </w:rPr>
                    <w:t>値</w:t>
                  </w:r>
                </w:p>
              </w:tc>
              <w:tc>
                <w:tcPr>
                  <w:tcW w:w="1191" w:type="dxa"/>
                  <w:tcBorders>
                    <w:bottom w:val="single" w:sz="4" w:space="0" w:color="auto"/>
                  </w:tcBorders>
                  <w:vAlign w:val="center"/>
                </w:tcPr>
                <w:p w:rsidR="007971D8" w:rsidRPr="00CD1C2D" w:rsidRDefault="00196510" w:rsidP="00196510">
                  <w:pPr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196510">
                    <w:rPr>
                      <w:rFonts w:ascii="HG丸ｺﾞｼｯｸM-PRO" w:eastAsia="HG丸ｺﾞｼｯｸM-PRO" w:hAnsi="HG丸ｺﾞｼｯｸM-PRO" w:hint="eastAsia"/>
                      <w:w w:val="99"/>
                      <w:kern w:val="0"/>
                      <w:sz w:val="18"/>
                      <w:szCs w:val="18"/>
                      <w:fitText w:val="991" w:id="-950201343"/>
                    </w:rPr>
                    <w:t>H30年度</w:t>
                  </w:r>
                  <w:r w:rsidRPr="00196510">
                    <w:rPr>
                      <w:rFonts w:ascii="HG丸ｺﾞｼｯｸM-PRO" w:eastAsia="HG丸ｺﾞｼｯｸM-PRO" w:hAnsi="HG丸ｺﾞｼｯｸM-PRO" w:hint="eastAsia"/>
                      <w:spacing w:val="4"/>
                      <w:w w:val="99"/>
                      <w:kern w:val="0"/>
                      <w:sz w:val="18"/>
                      <w:szCs w:val="18"/>
                      <w:fitText w:val="991" w:id="-950201343"/>
                    </w:rPr>
                    <w:t>値</w:t>
                  </w:r>
                </w:p>
              </w:tc>
              <w:tc>
                <w:tcPr>
                  <w:tcW w:w="1191" w:type="dxa"/>
                  <w:tcBorders>
                    <w:bottom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目標値</w:t>
                  </w:r>
                </w:p>
              </w:tc>
              <w:tc>
                <w:tcPr>
                  <w:tcW w:w="1191" w:type="dxa"/>
                  <w:tcBorders>
                    <w:bottom w:val="single" w:sz="4" w:space="0" w:color="auto"/>
                  </w:tcBorders>
                </w:tcPr>
                <w:p w:rsidR="007971D8" w:rsidRPr="00CD1C2D" w:rsidRDefault="007971D8" w:rsidP="007971D8">
                  <w:pPr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R5年度値</w:t>
                  </w:r>
                </w:p>
              </w:tc>
              <w:tc>
                <w:tcPr>
                  <w:tcW w:w="1191" w:type="dxa"/>
                  <w:tcBorders>
                    <w:bottom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ind w:firstLineChars="100" w:firstLine="180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評　価</w:t>
                  </w:r>
                </w:p>
              </w:tc>
            </w:tr>
            <w:tr w:rsidR="007971D8" w:rsidTr="00196510">
              <w:trPr>
                <w:trHeight w:val="220"/>
              </w:trPr>
              <w:tc>
                <w:tcPr>
                  <w:tcW w:w="22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971D8" w:rsidRDefault="007971D8" w:rsidP="007971D8">
                  <w:pPr>
                    <w:pStyle w:val="a7"/>
                    <w:spacing w:line="260" w:lineRule="exac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休日に野外で２時間以上遊ぶ子どもの割合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a7"/>
                    <w:spacing w:line="240" w:lineRule="auto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３才児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7971D8" w:rsidRPr="00CD1C2D" w:rsidRDefault="007971D8" w:rsidP="007971D8">
                  <w:pPr>
                    <w:pStyle w:val="a8"/>
                    <w:spacing w:line="240" w:lineRule="auto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９.6%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ind w:right="160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23.1％</w:t>
                  </w:r>
                </w:p>
              </w:tc>
              <w:tc>
                <w:tcPr>
                  <w:tcW w:w="11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増　加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7971D8" w:rsidRPr="00CD1C2D" w:rsidRDefault="007971D8" w:rsidP="007971D8">
                  <w:pPr>
                    <w:pStyle w:val="a8"/>
                    <w:spacing w:line="240" w:lineRule="auto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15.8％</w:t>
                  </w:r>
                </w:p>
              </w:tc>
              <w:tc>
                <w:tcPr>
                  <w:tcW w:w="1191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a8"/>
                    <w:spacing w:line="240" w:lineRule="auto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A</w:t>
                  </w:r>
                </w:p>
              </w:tc>
            </w:tr>
            <w:tr w:rsidR="007971D8" w:rsidTr="00196510">
              <w:trPr>
                <w:trHeight w:val="129"/>
              </w:trPr>
              <w:tc>
                <w:tcPr>
                  <w:tcW w:w="2263" w:type="dxa"/>
                  <w:vMerge/>
                  <w:tcBorders>
                    <w:top w:val="single" w:sz="8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971D8" w:rsidRPr="005E54B3" w:rsidRDefault="007971D8" w:rsidP="007971D8">
                  <w:pPr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４～６才児</w:t>
                  </w:r>
                </w:p>
              </w:tc>
              <w:tc>
                <w:tcPr>
                  <w:tcW w:w="119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7971D8" w:rsidRPr="00CD1C2D" w:rsidRDefault="007971D8" w:rsidP="007971D8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10.1%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ind w:right="160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20.8％</w:t>
                  </w:r>
                </w:p>
              </w:tc>
              <w:tc>
                <w:tcPr>
                  <w:tcW w:w="1191" w:type="dxa"/>
                  <w:vMerge/>
                  <w:tcBorders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7971D8" w:rsidRPr="00CD1C2D" w:rsidRDefault="007971D8" w:rsidP="007971D8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11.2％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B</w:t>
                  </w:r>
                </w:p>
              </w:tc>
            </w:tr>
            <w:tr w:rsidR="007971D8" w:rsidTr="00196510">
              <w:trPr>
                <w:trHeight w:val="280"/>
              </w:trPr>
              <w:tc>
                <w:tcPr>
                  <w:tcW w:w="2263" w:type="dxa"/>
                  <w:vMerge w:val="restart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  <w:vAlign w:val="center"/>
                </w:tcPr>
                <w:p w:rsidR="007971D8" w:rsidRDefault="007971D8" w:rsidP="007971D8">
                  <w:pPr>
                    <w:pStyle w:val="a7"/>
                    <w:spacing w:line="260" w:lineRule="exac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休日にテレビやゲームを２時間以上している子どもの割合</w:t>
                  </w:r>
                </w:p>
              </w:tc>
              <w:tc>
                <w:tcPr>
                  <w:tcW w:w="1134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a7"/>
                    <w:spacing w:line="240" w:lineRule="auto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３才児未満</w:t>
                  </w:r>
                </w:p>
              </w:tc>
              <w:tc>
                <w:tcPr>
                  <w:tcW w:w="119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19.5%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ind w:right="160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18.1％</w:t>
                  </w:r>
                </w:p>
              </w:tc>
              <w:tc>
                <w:tcPr>
                  <w:tcW w:w="1191" w:type="dxa"/>
                  <w:vMerge w:val="restart"/>
                  <w:tcBorders>
                    <w:top w:val="dashSmallGap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減　少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16.0％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B</w:t>
                  </w:r>
                </w:p>
              </w:tc>
            </w:tr>
            <w:tr w:rsidR="007971D8" w:rsidTr="00196510">
              <w:trPr>
                <w:trHeight w:val="94"/>
              </w:trPr>
              <w:tc>
                <w:tcPr>
                  <w:tcW w:w="2263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dashSmallGap" w:sz="4" w:space="0" w:color="auto"/>
                  </w:tcBorders>
                  <w:vAlign w:val="center"/>
                </w:tcPr>
                <w:p w:rsidR="007971D8" w:rsidRPr="005E54B3" w:rsidRDefault="007971D8" w:rsidP="007971D8">
                  <w:pPr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３才児</w:t>
                  </w:r>
                </w:p>
              </w:tc>
              <w:tc>
                <w:tcPr>
                  <w:tcW w:w="119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26.2%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ind w:right="160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20.5％</w:t>
                  </w:r>
                </w:p>
              </w:tc>
              <w:tc>
                <w:tcPr>
                  <w:tcW w:w="119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27.4％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196510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Ｃ</w:t>
                  </w:r>
                </w:p>
              </w:tc>
            </w:tr>
            <w:tr w:rsidR="007971D8" w:rsidTr="00196510">
              <w:trPr>
                <w:trHeight w:val="155"/>
              </w:trPr>
              <w:tc>
                <w:tcPr>
                  <w:tcW w:w="2263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971D8" w:rsidRPr="005E54B3" w:rsidRDefault="007971D8" w:rsidP="007971D8">
                  <w:pPr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４～６才児</w:t>
                  </w:r>
                </w:p>
              </w:tc>
              <w:tc>
                <w:tcPr>
                  <w:tcW w:w="1190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71D8" w:rsidRPr="00CD1C2D" w:rsidRDefault="007971D8" w:rsidP="007971D8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26.9%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ind w:right="160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30.8％</w:t>
                  </w:r>
                </w:p>
              </w:tc>
              <w:tc>
                <w:tcPr>
                  <w:tcW w:w="1191" w:type="dxa"/>
                  <w:vMerge/>
                  <w:tcBorders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71D8" w:rsidRPr="00CD1C2D" w:rsidRDefault="007971D8" w:rsidP="007971D8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31.8％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196510" w:rsidP="007971D8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Ｃ</w:t>
                  </w:r>
                </w:p>
              </w:tc>
            </w:tr>
            <w:tr w:rsidR="00196510" w:rsidTr="00196510">
              <w:trPr>
                <w:trHeight w:val="70"/>
              </w:trPr>
              <w:tc>
                <w:tcPr>
                  <w:tcW w:w="33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a7"/>
                    <w:spacing w:line="240" w:lineRule="auto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膝や腰に痛みのある人の割合</w:t>
                  </w:r>
                </w:p>
              </w:tc>
              <w:tc>
                <w:tcPr>
                  <w:tcW w:w="119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ind w:right="160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61.8％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59.7%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減　少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7971D8" w:rsidRPr="00CD1C2D" w:rsidRDefault="002A3463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56.7</w:t>
                  </w:r>
                  <w:r w:rsidR="007971D8" w:rsidRPr="00CD1C2D">
                    <w:rPr>
                      <w:rFonts w:ascii="HG丸ｺﾞｼｯｸM-PRO" w:eastAsia="HG丸ｺﾞｼｯｸM-PRO" w:hAnsi="HG丸ｺﾞｼｯｸM-PRO" w:hint="eastAsia"/>
                    </w:rPr>
                    <w:t>％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A</w:t>
                  </w:r>
                </w:p>
              </w:tc>
            </w:tr>
            <w:tr w:rsidR="00196510" w:rsidTr="00196510">
              <w:trPr>
                <w:trHeight w:val="363"/>
              </w:trPr>
              <w:tc>
                <w:tcPr>
                  <w:tcW w:w="3397" w:type="dxa"/>
                  <w:gridSpan w:val="2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a7"/>
                    <w:spacing w:line="240" w:lineRule="auto"/>
                    <w:rPr>
                      <w:rFonts w:ascii="HG丸ｺﾞｼｯｸM-PRO" w:eastAsia="HG丸ｺﾞｼｯｸM-PRO" w:hAnsi="HG丸ｺﾞｼｯｸM-PRO"/>
                    </w:rPr>
                  </w:pPr>
                  <w:r w:rsidRPr="00196510">
                    <w:rPr>
                      <w:rFonts w:ascii="HG丸ｺﾞｼｯｸM-PRO" w:eastAsia="HG丸ｺﾞｼｯｸM-PRO" w:hAnsi="HG丸ｺﾞｼｯｸM-PRO" w:hint="eastAsia"/>
                      <w:kern w:val="0"/>
                    </w:rPr>
                    <w:t>日常生活における歩数６千歩未満の割合</w:t>
                  </w:r>
                </w:p>
              </w:tc>
              <w:tc>
                <w:tcPr>
                  <w:tcW w:w="1190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ind w:right="160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50.1％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57.8%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7971D8" w:rsidP="007971D8">
                  <w:pPr>
                    <w:pStyle w:val="suuji"/>
                    <w:spacing w:line="240" w:lineRule="auto"/>
                    <w:ind w:firstLineChars="200" w:firstLine="360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 w:rsidRPr="00CD1C2D">
                    <w:rPr>
                      <w:rFonts w:ascii="HG丸ｺﾞｼｯｸM-PRO" w:eastAsia="HG丸ｺﾞｼｯｸM-PRO" w:hAnsi="HG丸ｺﾞｼｯｸM-PRO" w:hint="eastAsia"/>
                    </w:rPr>
                    <w:t>40％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71D8" w:rsidRPr="00CD1C2D" w:rsidRDefault="002A3463" w:rsidP="007971D8">
                  <w:pPr>
                    <w:pStyle w:val="suuji"/>
                    <w:spacing w:line="48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51.5</w:t>
                  </w:r>
                  <w:bookmarkStart w:id="0" w:name="_GoBack"/>
                  <w:bookmarkEnd w:id="0"/>
                  <w:r w:rsidR="007971D8" w:rsidRPr="00CD1C2D">
                    <w:rPr>
                      <w:rFonts w:ascii="HG丸ｺﾞｼｯｸM-PRO" w:eastAsia="HG丸ｺﾞｼｯｸM-PRO" w:hAnsi="HG丸ｺﾞｼｯｸM-PRO" w:hint="eastAsia"/>
                    </w:rPr>
                    <w:t>％</w:t>
                  </w:r>
                </w:p>
              </w:tc>
              <w:tc>
                <w:tcPr>
                  <w:tcW w:w="1191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71D8" w:rsidRPr="00CD1C2D" w:rsidRDefault="00196510" w:rsidP="007971D8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Ｃ</w:t>
                  </w:r>
                </w:p>
              </w:tc>
            </w:tr>
          </w:tbl>
          <w:p w:rsidR="006714E9" w:rsidRDefault="006714E9" w:rsidP="00913CBC"/>
          <w:p w:rsidR="006714E9" w:rsidRPr="00F95938" w:rsidRDefault="006714E9" w:rsidP="001B210C">
            <w:pPr>
              <w:tabs>
                <w:tab w:val="left" w:pos="8310"/>
              </w:tabs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6714E9" w:rsidTr="00860095">
        <w:trPr>
          <w:trHeight w:val="70"/>
        </w:trPr>
        <w:tc>
          <w:tcPr>
            <w:tcW w:w="9585" w:type="dxa"/>
          </w:tcPr>
          <w:p w:rsidR="006714E9" w:rsidRDefault="00F95938" w:rsidP="00913CB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◆</w:t>
            </w:r>
            <w:r w:rsidR="001A40EC">
              <w:rPr>
                <w:rFonts w:ascii="HG丸ｺﾞｼｯｸM-PRO" w:eastAsia="HG丸ｺﾞｼｯｸM-PRO" w:hAnsi="HG丸ｺﾞｼｯｸM-PRO" w:hint="eastAsia"/>
                <w:b/>
              </w:rPr>
              <w:t>次期計画に向けて</w:t>
            </w:r>
          </w:p>
        </w:tc>
      </w:tr>
      <w:tr w:rsidR="006714E9" w:rsidTr="00860095">
        <w:trPr>
          <w:trHeight w:val="1031"/>
        </w:trPr>
        <w:tc>
          <w:tcPr>
            <w:tcW w:w="9585" w:type="dxa"/>
            <w:tcBorders>
              <w:bottom w:val="single" w:sz="4" w:space="0" w:color="auto"/>
            </w:tcBorders>
          </w:tcPr>
          <w:p w:rsidR="00D857F2" w:rsidRDefault="00D857F2" w:rsidP="00CD2620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○乳幼児期～学齢期</w:t>
            </w:r>
          </w:p>
          <w:p w:rsidR="00D857F2" w:rsidRDefault="00D857F2" w:rsidP="00CD2620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・体育課や子育て支援センター等と連携調整し、多角的に周知することで参加者を増やし、運動のきっかけづくりをする</w:t>
            </w:r>
          </w:p>
          <w:p w:rsidR="00EA6DF2" w:rsidRDefault="00EA6DF2" w:rsidP="00CD2620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D857F2" w:rsidRDefault="00D857F2" w:rsidP="00CD2620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○成人期～高齢期</w:t>
            </w:r>
          </w:p>
          <w:p w:rsidR="00D857F2" w:rsidRDefault="00196510" w:rsidP="00CD2620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・健康増進に必要な歩数について、町ホームページや健康教室により</w:t>
            </w:r>
            <w:r w:rsidR="00D857F2">
              <w:rPr>
                <w:rFonts w:ascii="HG丸ｺﾞｼｯｸM-PRO" w:eastAsia="HG丸ｺﾞｼｯｸM-PRO" w:hAnsi="HG丸ｺﾞｼｯｸM-PRO" w:hint="eastAsia"/>
              </w:rPr>
              <w:t>周知する</w:t>
            </w:r>
          </w:p>
          <w:p w:rsidR="00EA6DF2" w:rsidRDefault="00D857F2" w:rsidP="00EA6DF2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・教室参加者へ</w:t>
            </w:r>
            <w:r w:rsidR="00EA6DF2">
              <w:rPr>
                <w:rFonts w:ascii="HG丸ｺﾞｼｯｸM-PRO" w:eastAsia="HG丸ｺﾞｼｯｸM-PRO" w:hAnsi="HG丸ｺﾞｼｯｸM-PRO" w:hint="eastAsia"/>
              </w:rPr>
              <w:t>歩数を意識した生活や運動習慣の必要性等ができるよう指導する</w:t>
            </w:r>
          </w:p>
          <w:p w:rsidR="001A40EC" w:rsidRDefault="001A40EC" w:rsidP="00CD2620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</w:p>
          <w:p w:rsidR="00196510" w:rsidRDefault="00196510" w:rsidP="00CD2620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○全世代</w:t>
            </w:r>
          </w:p>
          <w:p w:rsidR="00196510" w:rsidRDefault="00196510" w:rsidP="00CD2620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・関係機関と連携調整し、運動する機会を提供する</w:t>
            </w:r>
          </w:p>
          <w:p w:rsidR="001A40EC" w:rsidRDefault="001A40EC" w:rsidP="00CD2620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</w:p>
          <w:p w:rsidR="00196510" w:rsidRDefault="00196510" w:rsidP="00CD2620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</w:p>
          <w:p w:rsidR="00196510" w:rsidRDefault="00196510" w:rsidP="00CD2620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083A19" w:rsidRPr="005E56A1" w:rsidRDefault="002A3463"/>
    <w:sectPr w:rsidR="00083A19" w:rsidRPr="005E56A1" w:rsidSect="000046DB">
      <w:pgSz w:w="11906" w:h="16838"/>
      <w:pgMar w:top="397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5AA" w:rsidRDefault="005615AA" w:rsidP="007F1B43">
      <w:r>
        <w:separator/>
      </w:r>
    </w:p>
  </w:endnote>
  <w:endnote w:type="continuationSeparator" w:id="0">
    <w:p w:rsidR="005615AA" w:rsidRDefault="005615AA" w:rsidP="007F1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5AA" w:rsidRDefault="005615AA" w:rsidP="007F1B43">
      <w:r>
        <w:separator/>
      </w:r>
    </w:p>
  </w:footnote>
  <w:footnote w:type="continuationSeparator" w:id="0">
    <w:p w:rsidR="005615AA" w:rsidRDefault="005615AA" w:rsidP="007F1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4E9"/>
    <w:rsid w:val="000046DB"/>
    <w:rsid w:val="00064541"/>
    <w:rsid w:val="00161AA2"/>
    <w:rsid w:val="00196510"/>
    <w:rsid w:val="001A40EC"/>
    <w:rsid w:val="001B210C"/>
    <w:rsid w:val="001C75DC"/>
    <w:rsid w:val="0024171C"/>
    <w:rsid w:val="002A3463"/>
    <w:rsid w:val="002A7F4D"/>
    <w:rsid w:val="003941AF"/>
    <w:rsid w:val="003E2997"/>
    <w:rsid w:val="0044494D"/>
    <w:rsid w:val="005615AA"/>
    <w:rsid w:val="00571F43"/>
    <w:rsid w:val="005751D4"/>
    <w:rsid w:val="005E4ADF"/>
    <w:rsid w:val="005E56A1"/>
    <w:rsid w:val="00600A77"/>
    <w:rsid w:val="006714E9"/>
    <w:rsid w:val="00785C1B"/>
    <w:rsid w:val="007932DF"/>
    <w:rsid w:val="007971D8"/>
    <w:rsid w:val="007F1B43"/>
    <w:rsid w:val="00815E4E"/>
    <w:rsid w:val="00860095"/>
    <w:rsid w:val="00894C77"/>
    <w:rsid w:val="008E7696"/>
    <w:rsid w:val="009377EC"/>
    <w:rsid w:val="00AE4EF4"/>
    <w:rsid w:val="00AF54D3"/>
    <w:rsid w:val="00B67DA5"/>
    <w:rsid w:val="00C06153"/>
    <w:rsid w:val="00C21F9B"/>
    <w:rsid w:val="00CD1C2D"/>
    <w:rsid w:val="00CD2620"/>
    <w:rsid w:val="00CE1823"/>
    <w:rsid w:val="00CE6AEB"/>
    <w:rsid w:val="00D324E8"/>
    <w:rsid w:val="00D857F2"/>
    <w:rsid w:val="00D92DDF"/>
    <w:rsid w:val="00DD398A"/>
    <w:rsid w:val="00E36B96"/>
    <w:rsid w:val="00E5400F"/>
    <w:rsid w:val="00E57897"/>
    <w:rsid w:val="00EA6DF2"/>
    <w:rsid w:val="00EB2B65"/>
    <w:rsid w:val="00EF1EDA"/>
    <w:rsid w:val="00F2231B"/>
    <w:rsid w:val="00F95938"/>
    <w:rsid w:val="00FA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496DB4C"/>
  <w15:chartTrackingRefBased/>
  <w15:docId w15:val="{2A22241B-FE6F-46F0-ACA9-AEACE70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4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uji">
    <w:name w:val="表内suuji"/>
    <w:basedOn w:val="a"/>
    <w:rsid w:val="006714E9"/>
    <w:pPr>
      <w:widowControl/>
      <w:spacing w:line="240" w:lineRule="exact"/>
      <w:jc w:val="right"/>
    </w:pPr>
    <w:rPr>
      <w:rFonts w:ascii="ＭＳ Ｐゴシック" w:eastAsia="ＭＳ Ｐゴシック" w:hAnsi="ＭＳ Ｐゴシック" w:cs="Times New Roman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7F1B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1B43"/>
  </w:style>
  <w:style w:type="paragraph" w:styleId="a5">
    <w:name w:val="footer"/>
    <w:basedOn w:val="a"/>
    <w:link w:val="a6"/>
    <w:uiPriority w:val="99"/>
    <w:unhideWhenUsed/>
    <w:rsid w:val="007F1B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1B43"/>
  </w:style>
  <w:style w:type="paragraph" w:customStyle="1" w:styleId="a7">
    <w:name w:val="表内文字（左よせ）"/>
    <w:basedOn w:val="suuji"/>
    <w:rsid w:val="001C75DC"/>
    <w:pPr>
      <w:jc w:val="both"/>
    </w:pPr>
  </w:style>
  <w:style w:type="paragraph" w:customStyle="1" w:styleId="a8">
    <w:name w:val="表内文字"/>
    <w:basedOn w:val="a"/>
    <w:rsid w:val="00F95938"/>
    <w:pPr>
      <w:widowControl/>
      <w:spacing w:line="240" w:lineRule="exact"/>
      <w:jc w:val="center"/>
    </w:pPr>
    <w:rPr>
      <w:rFonts w:ascii="ＭＳ Ｐゴシック" w:eastAsia="ＭＳ Ｐゴシック" w:hAnsi="ＭＳ Ｐゴシック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E29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E2997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FA5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保健福祉課 鈴木　郁美</dc:creator>
  <cp:keywords/>
  <dc:description/>
  <cp:lastModifiedBy>保健福祉課 梅坪　光</cp:lastModifiedBy>
  <cp:revision>20</cp:revision>
  <cp:lastPrinted>2024-07-12T00:57:00Z</cp:lastPrinted>
  <dcterms:created xsi:type="dcterms:W3CDTF">2019-07-12T11:27:00Z</dcterms:created>
  <dcterms:modified xsi:type="dcterms:W3CDTF">2024-07-12T00:58:00Z</dcterms:modified>
</cp:coreProperties>
</file>